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400" w:type="dxa"/>
        <w:jc w:val="center"/>
        <w:tblBorders>
          <w:top w:val="single" w:sz="4" w:space="0" w:color="D9D9D9"/>
          <w:left w:val="single" w:sz="4" w:space="0" w:color="D9D9D9"/>
          <w:bottom w:val="single" w:sz="4" w:space="0" w:color="D9D9D9"/>
          <w:right w:val="single" w:sz="4" w:space="0" w:color="D9D9D9"/>
        </w:tblBorders>
        <w:tblCellMar>
          <w:left w:w="0" w:type="dxa"/>
          <w:right w:w="0" w:type="dxa"/>
        </w:tblCellMar>
        <w:tblLook w:val="00A0"/>
      </w:tblPr>
      <w:tblGrid>
        <w:gridCol w:w="14400"/>
      </w:tblGrid>
      <w:tr w:rsidR="000E269D" w:rsidRPr="00747FD7" w:rsidTr="00F534CF">
        <w:trPr>
          <w:trHeight w:val="698"/>
          <w:jc w:val="center"/>
        </w:trPr>
        <w:tc>
          <w:tcPr>
            <w:tcW w:w="0" w:type="auto"/>
            <w:tcBorders>
              <w:top w:val="single" w:sz="4" w:space="0" w:color="D9D9D9"/>
              <w:bottom w:val="single" w:sz="4" w:space="0" w:color="D4D4D4"/>
            </w:tcBorders>
            <w:vAlign w:val="center"/>
          </w:tcPr>
          <w:p w:rsidR="000E269D" w:rsidRPr="00F534CF" w:rsidRDefault="000E269D" w:rsidP="00F534CF">
            <w:pPr>
              <w:widowControl/>
              <w:spacing w:before="100" w:beforeAutospacing="1" w:after="100" w:afterAutospacing="1" w:line="626" w:lineRule="atLeast"/>
              <w:jc w:val="center"/>
              <w:outlineLvl w:val="1"/>
              <w:rPr>
                <w:rFonts w:ascii="宋体" w:cs="宋体"/>
                <w:b/>
                <w:bCs/>
                <w:color w:val="0064B1"/>
                <w:kern w:val="36"/>
                <w:sz w:val="30"/>
                <w:szCs w:val="30"/>
              </w:rPr>
            </w:pPr>
            <w:r w:rsidRPr="00F534CF">
              <w:rPr>
                <w:rFonts w:ascii="宋体" w:hAnsi="宋体" w:cs="宋体" w:hint="eastAsia"/>
                <w:b/>
                <w:bCs/>
                <w:color w:val="0064B1"/>
                <w:kern w:val="36"/>
                <w:sz w:val="30"/>
                <w:szCs w:val="30"/>
              </w:rPr>
              <w:t>闽价费</w:t>
            </w:r>
            <w:r w:rsidRPr="00F534CF">
              <w:rPr>
                <w:rFonts w:ascii="宋体" w:hAnsi="宋体" w:cs="宋体"/>
                <w:b/>
                <w:bCs/>
                <w:color w:val="0064B1"/>
                <w:kern w:val="36"/>
                <w:sz w:val="30"/>
                <w:szCs w:val="30"/>
              </w:rPr>
              <w:t>[2014]347</w:t>
            </w:r>
            <w:r w:rsidRPr="00F534CF">
              <w:rPr>
                <w:rFonts w:ascii="宋体" w:hAnsi="宋体" w:cs="宋体" w:hint="eastAsia"/>
                <w:b/>
                <w:bCs/>
                <w:color w:val="0064B1"/>
                <w:kern w:val="36"/>
                <w:sz w:val="30"/>
                <w:szCs w:val="30"/>
              </w:rPr>
              <w:t>号关于进一步完善防空地下室易地建设费有关问题的通知</w:t>
            </w:r>
          </w:p>
        </w:tc>
      </w:tr>
      <w:tr w:rsidR="000E269D" w:rsidRPr="00747FD7" w:rsidTr="00F534CF">
        <w:trPr>
          <w:jc w:val="center"/>
        </w:trPr>
        <w:tc>
          <w:tcPr>
            <w:tcW w:w="0" w:type="auto"/>
            <w:tcBorders>
              <w:bottom w:val="single" w:sz="4" w:space="0" w:color="D9D9D9"/>
            </w:tcBorders>
            <w:tcMar>
              <w:top w:w="200" w:type="dxa"/>
              <w:left w:w="275" w:type="dxa"/>
              <w:bottom w:w="200" w:type="dxa"/>
              <w:right w:w="275" w:type="dxa"/>
            </w:tcMar>
            <w:vAlign w:val="center"/>
          </w:tcPr>
          <w:p w:rsidR="000E269D" w:rsidRPr="00F534CF" w:rsidRDefault="000E269D" w:rsidP="00F534CF">
            <w:pPr>
              <w:widowControl/>
              <w:jc w:val="left"/>
              <w:rPr>
                <w:rFonts w:ascii="仿宋_GB2312" w:eastAsia="仿宋_GB2312" w:hAnsi="宋体" w:cs="宋体"/>
                <w:color w:val="3E3E3E"/>
                <w:kern w:val="0"/>
                <w:sz w:val="32"/>
                <w:szCs w:val="32"/>
              </w:rPr>
            </w:pPr>
            <w:r w:rsidRPr="00F534CF">
              <w:rPr>
                <w:rFonts w:ascii="仿宋_GB2312" w:eastAsia="仿宋_GB2312" w:hAnsi="宋体" w:cs="宋体" w:hint="eastAsia"/>
                <w:b/>
                <w:bCs/>
                <w:color w:val="3E3E3E"/>
                <w:kern w:val="0"/>
                <w:sz w:val="23"/>
              </w:rPr>
              <w:t>各设区市物价局、财政局、人防办，平潭综合实验区市场监督管理局、财政金融局、人防办：</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color w:val="3E3E3E"/>
                <w:kern w:val="0"/>
                <w:sz w:val="32"/>
                <w:szCs w:val="32"/>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为促进我省人防建设与经济建设协调发展，减轻企业负担，根据《福建省人民防空条例》的相关规定，并结合当前我省人防建设工作实际，现就我省防空地下室易地建设费收费标准及有关事项通知如下：</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color w:val="3E3E3E"/>
                <w:kern w:val="0"/>
                <w:sz w:val="32"/>
                <w:szCs w:val="32"/>
              </w:rPr>
              <w:br/>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一、取消原防空地下室易地建设费按照不同防护级别分别制定收费标准的做法，改为按照统一的收费标准执行；降低工业项目中民用建筑易地建设费收费标准。具体详见附件。</w:t>
            </w:r>
            <w:r w:rsidRPr="00F534CF">
              <w:rPr>
                <w:rFonts w:ascii="仿宋_GB2312" w:eastAsia="仿宋_GB2312" w:hAnsi="宋体" w:cs="宋体"/>
                <w:color w:val="3E3E3E"/>
                <w:kern w:val="0"/>
                <w:sz w:val="32"/>
                <w:szCs w:val="32"/>
              </w:rPr>
              <w:t xml:space="preserve"> </w:t>
            </w:r>
          </w:p>
          <w:p w:rsidR="000E269D" w:rsidRPr="00F534CF" w:rsidRDefault="000E269D" w:rsidP="00F534CF">
            <w:pPr>
              <w:widowControl/>
              <w:spacing w:before="100" w:beforeAutospacing="1" w:after="125" w:line="301" w:lineRule="atLeast"/>
              <w:jc w:val="left"/>
              <w:rPr>
                <w:rFonts w:ascii="宋体" w:cs="宋体"/>
                <w:color w:val="3E3E3E"/>
                <w:kern w:val="0"/>
                <w:sz w:val="18"/>
                <w:szCs w:val="18"/>
              </w:rPr>
            </w:pP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二、除国务院及国务院办公厅、国家发展改革委规定的减免项目外，任何组织和个人不得批准免交、减交或缓交防空地下室易地建设费。</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三、凡属国家规定可减免收取防空地下室易地建设费的项目，由项目所在地人防主管部门批准。</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四、防空地下室易地建设费应纳入人防经费预算，实行“收支两条线”管理，统筹安排并专项用于人防工程建设，不得用于平衡本级预算，不得挪用、借用或统筹调剂。</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五、防空地下室易地建设费的使用应符合人防工程建设管理基本程序的要求，投资项目按国家规定的权限审批。工程项目经费需经本级财政部门预（结）算审核后方可列支。凡未纳入人防工程建设计划或未批准建设的项目，财政部门一律不得核销防空地下室易地建设费。</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六、各级人防主管部门提取不超过当年收取防空地下室易地建设费总额的</w:t>
            </w:r>
            <w:r w:rsidRPr="00F534CF">
              <w:rPr>
                <w:rFonts w:ascii="仿宋_GB2312" w:eastAsia="仿宋_GB2312" w:hAnsi="宋体" w:cs="宋体"/>
                <w:b/>
                <w:bCs/>
                <w:color w:val="3E3E3E"/>
                <w:kern w:val="0"/>
                <w:sz w:val="23"/>
              </w:rPr>
              <w:t>7%</w:t>
            </w:r>
            <w:r w:rsidRPr="00F534CF">
              <w:rPr>
                <w:rFonts w:ascii="仿宋_GB2312" w:eastAsia="仿宋_GB2312" w:hAnsi="宋体" w:cs="宋体" w:hint="eastAsia"/>
                <w:b/>
                <w:bCs/>
                <w:color w:val="3E3E3E"/>
                <w:kern w:val="0"/>
                <w:sz w:val="23"/>
              </w:rPr>
              <w:t>，用于人防工程建设前期费用和已建公用人防工程的日常维修、维护等方面支出。</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七、各级人防主管部门应及时到当地价格主管部门办理《收费许可证》有关手续，向社会公示收费项目、收费标准、收费依据和价格监督电话</w:t>
            </w:r>
            <w:r w:rsidRPr="00F534CF">
              <w:rPr>
                <w:rFonts w:ascii="仿宋_GB2312" w:eastAsia="仿宋_GB2312" w:hAnsi="宋体" w:cs="宋体"/>
                <w:b/>
                <w:bCs/>
                <w:color w:val="3E3E3E"/>
                <w:kern w:val="0"/>
                <w:sz w:val="23"/>
              </w:rPr>
              <w:t>12358</w:t>
            </w:r>
            <w:r w:rsidRPr="00F534CF">
              <w:rPr>
                <w:rFonts w:ascii="仿宋_GB2312" w:eastAsia="仿宋_GB2312" w:hAnsi="宋体" w:cs="宋体" w:hint="eastAsia"/>
                <w:b/>
                <w:bCs/>
                <w:color w:val="3E3E3E"/>
                <w:kern w:val="0"/>
                <w:sz w:val="23"/>
              </w:rPr>
              <w:t>，落实“阳光价费”的各项规定，收费使用省财政主管部门统一印制的收费票据，收费资金上缴国库，实行收支两条线管理。</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八、各地人防主管部门应每年向省人防主管部门报送“防空地下室易地建设费收支情况表”，省人防主管部门应定期对市、县（区）人防主管部门的“结建”审批工作进行检查，对防空地下室易地建设费使用情况进行内部审计，加强对该项战备经费的监督检查。</w:t>
            </w:r>
            <w:r w:rsidRPr="00F534CF">
              <w:rPr>
                <w:rFonts w:ascii="仿宋_GB2312" w:eastAsia="仿宋_GB2312" w:hAnsi="宋体" w:cs="宋体"/>
                <w:b/>
                <w:bCs/>
                <w:color w:val="3E3E3E"/>
                <w:kern w:val="0"/>
                <w:sz w:val="23"/>
              </w:rPr>
              <w:t xml:space="preserve">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九、本通知自</w:t>
            </w:r>
            <w:smartTag w:uri="urn:schemas-microsoft-com:office:smarttags" w:element="chsdate">
              <w:smartTagPr>
                <w:attr w:name="IsROCDate" w:val="False"/>
                <w:attr w:name="IsLunarDate" w:val="False"/>
                <w:attr w:name="Day" w:val="1"/>
                <w:attr w:name="Month" w:val="12"/>
                <w:attr w:name="Year" w:val="2014"/>
              </w:smartTagPr>
              <w:r w:rsidRPr="00F534CF">
                <w:rPr>
                  <w:rFonts w:ascii="仿宋_GB2312" w:eastAsia="仿宋_GB2312" w:hAnsi="宋体" w:cs="宋体"/>
                  <w:b/>
                  <w:bCs/>
                  <w:color w:val="3E3E3E"/>
                  <w:kern w:val="0"/>
                  <w:sz w:val="23"/>
                </w:rPr>
                <w:t>2014</w:t>
              </w:r>
              <w:r w:rsidRPr="00F534CF">
                <w:rPr>
                  <w:rFonts w:ascii="仿宋_GB2312" w:eastAsia="仿宋_GB2312" w:hAnsi="宋体" w:cs="宋体" w:hint="eastAsia"/>
                  <w:b/>
                  <w:bCs/>
                  <w:color w:val="3E3E3E"/>
                  <w:kern w:val="0"/>
                  <w:sz w:val="23"/>
                </w:rPr>
                <w:t>年</w:t>
              </w:r>
              <w:r w:rsidRPr="00F534CF">
                <w:rPr>
                  <w:rFonts w:ascii="仿宋_GB2312" w:eastAsia="仿宋_GB2312" w:hAnsi="宋体" w:cs="宋体"/>
                  <w:b/>
                  <w:bCs/>
                  <w:color w:val="3E3E3E"/>
                  <w:kern w:val="0"/>
                  <w:sz w:val="23"/>
                </w:rPr>
                <w:t>12</w:t>
              </w:r>
              <w:r w:rsidRPr="00F534CF">
                <w:rPr>
                  <w:rFonts w:ascii="仿宋_GB2312" w:eastAsia="仿宋_GB2312" w:hAnsi="宋体" w:cs="宋体" w:hint="eastAsia"/>
                  <w:b/>
                  <w:bCs/>
                  <w:color w:val="3E3E3E"/>
                  <w:kern w:val="0"/>
                  <w:sz w:val="23"/>
                </w:rPr>
                <w:t>月</w:t>
              </w:r>
              <w:r w:rsidRPr="00F534CF">
                <w:rPr>
                  <w:rFonts w:ascii="仿宋_GB2312" w:eastAsia="仿宋_GB2312" w:hAnsi="宋体" w:cs="宋体"/>
                  <w:b/>
                  <w:bCs/>
                  <w:color w:val="3E3E3E"/>
                  <w:kern w:val="0"/>
                  <w:sz w:val="23"/>
                </w:rPr>
                <w:t>1</w:t>
              </w:r>
              <w:r w:rsidRPr="00F534CF">
                <w:rPr>
                  <w:rFonts w:ascii="仿宋_GB2312" w:eastAsia="仿宋_GB2312" w:hAnsi="宋体" w:cs="宋体" w:hint="eastAsia"/>
                  <w:b/>
                  <w:bCs/>
                  <w:color w:val="3E3E3E"/>
                  <w:kern w:val="0"/>
                  <w:sz w:val="23"/>
                </w:rPr>
                <w:t>日</w:t>
              </w:r>
            </w:smartTag>
            <w:r w:rsidRPr="00F534CF">
              <w:rPr>
                <w:rFonts w:ascii="仿宋_GB2312" w:eastAsia="仿宋_GB2312" w:hAnsi="宋体" w:cs="宋体" w:hint="eastAsia"/>
                <w:b/>
                <w:bCs/>
                <w:color w:val="3E3E3E"/>
                <w:kern w:val="0"/>
                <w:sz w:val="23"/>
              </w:rPr>
              <w:t>开始执行。以往凡与本通知精神不一致的防空地下室易地建设收费相关规定同时停止执行。</w:t>
            </w:r>
            <w:r w:rsidRPr="00F534CF">
              <w:rPr>
                <w:rFonts w:ascii="仿宋_GB2312" w:eastAsia="仿宋_GB2312" w:hAnsi="宋体" w:cs="宋体"/>
                <w:b/>
                <w:bCs/>
                <w:color w:val="3E3E3E"/>
                <w:kern w:val="0"/>
                <w:sz w:val="23"/>
              </w:rPr>
              <w:t xml:space="preserve"> </w:t>
            </w:r>
          </w:p>
          <w:p w:rsidR="000E269D" w:rsidRPr="00F534CF" w:rsidRDefault="000E269D" w:rsidP="00F534CF">
            <w:pPr>
              <w:widowControl/>
              <w:spacing w:before="100" w:beforeAutospacing="1" w:after="125" w:line="301" w:lineRule="atLeast"/>
              <w:jc w:val="left"/>
              <w:rPr>
                <w:rFonts w:ascii="宋体" w:cs="宋体"/>
                <w:color w:val="3E3E3E"/>
                <w:kern w:val="0"/>
                <w:sz w:val="18"/>
                <w:szCs w:val="18"/>
              </w:rPr>
            </w:pPr>
            <w:r w:rsidRPr="00F534CF">
              <w:rPr>
                <w:rFonts w:ascii="仿宋_GB2312" w:eastAsia="仿宋_GB2312" w:hAnsi="宋体" w:cs="宋体"/>
                <w:b/>
                <w:bCs/>
                <w:color w:val="3E3E3E"/>
                <w:kern w:val="0"/>
                <w:sz w:val="23"/>
              </w:rPr>
              <w:t>     </w:t>
            </w:r>
            <w:r w:rsidRPr="00F534CF">
              <w:rPr>
                <w:rFonts w:ascii="宋体" w:hAnsi="宋体" w:cs="宋体"/>
                <w:color w:val="3E3E3E"/>
                <w:kern w:val="0"/>
                <w:sz w:val="18"/>
                <w:szCs w:val="18"/>
              </w:rPr>
              <w:t xml:space="preserve"> </w:t>
            </w:r>
            <w:r w:rsidRPr="00F534CF">
              <w:rPr>
                <w:rFonts w:ascii="仿宋_GB2312" w:eastAsia="仿宋_GB2312" w:hAnsi="宋体" w:cs="宋体" w:hint="eastAsia"/>
                <w:b/>
                <w:bCs/>
                <w:color w:val="3E3E3E"/>
                <w:kern w:val="0"/>
                <w:sz w:val="23"/>
              </w:rPr>
              <w:t>附件：福建省防空地下室易地建设费收费标准</w:t>
            </w:r>
            <w:r w:rsidRPr="00F534CF">
              <w:rPr>
                <w:rFonts w:ascii="仿宋_GB2312" w:eastAsia="仿宋_GB2312" w:hAnsi="宋体" w:cs="宋体"/>
                <w:b/>
                <w:bCs/>
                <w:color w:val="3E3E3E"/>
                <w:kern w:val="0"/>
                <w:sz w:val="23"/>
              </w:rPr>
              <w:t> </w:t>
            </w:r>
            <w:r w:rsidRPr="00F534CF">
              <w:rPr>
                <w:rFonts w:ascii="宋体" w:hAnsi="宋体" w:cs="宋体"/>
                <w:color w:val="3E3E3E"/>
                <w:kern w:val="0"/>
                <w:sz w:val="18"/>
                <w:szCs w:val="18"/>
              </w:rPr>
              <w:t xml:space="preserve"> </w:t>
            </w:r>
          </w:p>
          <w:p w:rsidR="000E269D" w:rsidRPr="00F534CF" w:rsidRDefault="000E269D" w:rsidP="00F534CF">
            <w:pPr>
              <w:widowControl/>
              <w:jc w:val="left"/>
              <w:rPr>
                <w:rFonts w:ascii="宋体" w:cs="宋体"/>
                <w:color w:val="3E3E3E"/>
                <w:kern w:val="0"/>
                <w:sz w:val="18"/>
                <w:szCs w:val="18"/>
              </w:rPr>
            </w:pPr>
            <w:r w:rsidRPr="00F534CF">
              <w:rPr>
                <w:rFonts w:ascii="仿宋_GB2312" w:eastAsia="仿宋_GB2312" w:hAnsi="宋体" w:cs="宋体"/>
                <w:b/>
                <w:bCs/>
                <w:color w:val="3E3E3E"/>
                <w:kern w:val="0"/>
                <w:sz w:val="23"/>
              </w:rPr>
              <w:t>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 xml:space="preserve">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hint="eastAsia"/>
                <w:b/>
                <w:bCs/>
                <w:color w:val="3E3E3E"/>
                <w:kern w:val="0"/>
                <w:sz w:val="23"/>
              </w:rPr>
              <w:t>福建省物价局</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福建省财政厅</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hint="eastAsia"/>
                <w:b/>
                <w:bCs/>
                <w:color w:val="3E3E3E"/>
                <w:kern w:val="0"/>
                <w:sz w:val="23"/>
              </w:rPr>
              <w:t>福建省人防办</w:t>
            </w:r>
            <w:r w:rsidRPr="00F534CF">
              <w:rPr>
                <w:rFonts w:ascii="仿宋_GB2312" w:eastAsia="仿宋_GB2312" w:hAnsi="宋体" w:cs="宋体"/>
                <w:b/>
                <w:bCs/>
                <w:color w:val="3E3E3E"/>
                <w:kern w:val="0"/>
                <w:sz w:val="23"/>
              </w:rPr>
              <w:t> </w:t>
            </w:r>
            <w:r w:rsidRPr="00F534CF">
              <w:rPr>
                <w:rFonts w:ascii="宋体" w:cs="宋体"/>
                <w:color w:val="3E3E3E"/>
                <w:kern w:val="0"/>
                <w:sz w:val="18"/>
                <w:szCs w:val="18"/>
              </w:rPr>
              <w:br/>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hint="eastAsia"/>
                <w:b/>
                <w:bCs/>
                <w:color w:val="3E3E3E"/>
                <w:kern w:val="0"/>
                <w:sz w:val="23"/>
              </w:rPr>
              <w:t xml:space="preserve">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b/>
                <w:bCs/>
                <w:color w:val="3E3E3E"/>
                <w:kern w:val="0"/>
                <w:sz w:val="23"/>
              </w:rPr>
              <w:t> </w:t>
            </w:r>
            <w:r w:rsidRPr="00F534CF">
              <w:rPr>
                <w:rFonts w:ascii="仿宋_GB2312" w:eastAsia="仿宋_GB2312" w:hAnsi="宋体" w:cs="宋体"/>
                <w:b/>
                <w:bCs/>
                <w:color w:val="3E3E3E"/>
                <w:kern w:val="0"/>
                <w:sz w:val="23"/>
              </w:rPr>
              <w:t xml:space="preserve"> </w:t>
            </w:r>
            <w:smartTag w:uri="urn:schemas-microsoft-com:office:smarttags" w:element="chsdate">
              <w:smartTagPr>
                <w:attr w:name="IsROCDate" w:val="False"/>
                <w:attr w:name="IsLunarDate" w:val="False"/>
                <w:attr w:name="Day" w:val="4"/>
                <w:attr w:name="Month" w:val="11"/>
                <w:attr w:name="Year" w:val="2014"/>
              </w:smartTagPr>
              <w:r w:rsidRPr="00F534CF">
                <w:rPr>
                  <w:rFonts w:ascii="仿宋_GB2312" w:eastAsia="仿宋_GB2312" w:hAnsi="宋体" w:cs="宋体"/>
                  <w:b/>
                  <w:bCs/>
                  <w:color w:val="3E3E3E"/>
                  <w:kern w:val="0"/>
                  <w:sz w:val="23"/>
                </w:rPr>
                <w:t>2014</w:t>
              </w:r>
              <w:r w:rsidRPr="00F534CF">
                <w:rPr>
                  <w:rFonts w:ascii="仿宋_GB2312" w:eastAsia="仿宋_GB2312" w:hAnsi="宋体" w:cs="宋体" w:hint="eastAsia"/>
                  <w:b/>
                  <w:bCs/>
                  <w:color w:val="3E3E3E"/>
                  <w:kern w:val="0"/>
                  <w:sz w:val="23"/>
                </w:rPr>
                <w:t>年</w:t>
              </w:r>
              <w:r w:rsidRPr="00F534CF">
                <w:rPr>
                  <w:rFonts w:ascii="仿宋_GB2312" w:eastAsia="仿宋_GB2312" w:hAnsi="宋体" w:cs="宋体"/>
                  <w:b/>
                  <w:bCs/>
                  <w:color w:val="3E3E3E"/>
                  <w:kern w:val="0"/>
                  <w:sz w:val="23"/>
                </w:rPr>
                <w:t>11</w:t>
              </w:r>
              <w:r w:rsidRPr="00F534CF">
                <w:rPr>
                  <w:rFonts w:ascii="仿宋_GB2312" w:eastAsia="仿宋_GB2312" w:hAnsi="宋体" w:cs="宋体" w:hint="eastAsia"/>
                  <w:b/>
                  <w:bCs/>
                  <w:color w:val="3E3E3E"/>
                  <w:kern w:val="0"/>
                  <w:sz w:val="23"/>
                </w:rPr>
                <w:t>月</w:t>
              </w:r>
              <w:r w:rsidRPr="00F534CF">
                <w:rPr>
                  <w:rFonts w:ascii="仿宋_GB2312" w:eastAsia="仿宋_GB2312" w:hAnsi="宋体" w:cs="宋体"/>
                  <w:b/>
                  <w:bCs/>
                  <w:color w:val="3E3E3E"/>
                  <w:kern w:val="0"/>
                  <w:sz w:val="23"/>
                </w:rPr>
                <w:t>4</w:t>
              </w:r>
              <w:r w:rsidRPr="00F534CF">
                <w:rPr>
                  <w:rFonts w:ascii="仿宋_GB2312" w:eastAsia="仿宋_GB2312" w:hAnsi="宋体" w:cs="宋体" w:hint="eastAsia"/>
                  <w:b/>
                  <w:bCs/>
                  <w:color w:val="3E3E3E"/>
                  <w:kern w:val="0"/>
                  <w:sz w:val="23"/>
                </w:rPr>
                <w:t>日</w:t>
              </w:r>
            </w:smartTag>
            <w:r w:rsidRPr="00F534CF">
              <w:rPr>
                <w:rFonts w:ascii="宋体" w:hAnsi="宋体" w:cs="宋体"/>
                <w:color w:val="3E3E3E"/>
                <w:kern w:val="0"/>
                <w:sz w:val="18"/>
                <w:szCs w:val="18"/>
              </w:rPr>
              <w:t xml:space="preserve"> </w:t>
            </w:r>
          </w:p>
          <w:p w:rsidR="000E269D" w:rsidRPr="00F534CF" w:rsidRDefault="000E269D" w:rsidP="00F534CF">
            <w:pPr>
              <w:widowControl/>
              <w:spacing w:before="100" w:beforeAutospacing="1" w:after="125" w:line="301" w:lineRule="atLeast"/>
              <w:jc w:val="left"/>
              <w:rPr>
                <w:rFonts w:ascii="宋体" w:cs="宋体"/>
                <w:color w:val="3E3E3E"/>
                <w:kern w:val="0"/>
                <w:sz w:val="18"/>
                <w:szCs w:val="18"/>
              </w:rPr>
            </w:pPr>
            <w:r w:rsidRPr="00F534CF">
              <w:rPr>
                <w:rFonts w:ascii="仿宋_GB2312" w:eastAsia="仿宋_GB2312" w:hAnsi="宋体" w:cs="宋体"/>
                <w:b/>
                <w:bCs/>
                <w:color w:val="3E3E3E"/>
                <w:kern w:val="0"/>
                <w:sz w:val="23"/>
              </w:rPr>
              <w:t> </w:t>
            </w:r>
            <w:r w:rsidRPr="00F534CF">
              <w:rPr>
                <w:rFonts w:ascii="宋体" w:hAnsi="宋体" w:cs="宋体"/>
                <w:color w:val="3E3E3E"/>
                <w:kern w:val="0"/>
                <w:sz w:val="18"/>
                <w:szCs w:val="18"/>
              </w:rPr>
              <w:t xml:space="preserve"> </w:t>
            </w:r>
            <w:r w:rsidRPr="00F534CF">
              <w:rPr>
                <w:rFonts w:ascii="黑体" w:eastAsia="黑体" w:hAnsi="黑体" w:cs="宋体" w:hint="eastAsia"/>
                <w:b/>
                <w:bCs/>
                <w:color w:val="3E3E3E"/>
                <w:kern w:val="0"/>
                <w:sz w:val="30"/>
              </w:rPr>
              <w:t>附件</w:t>
            </w:r>
            <w:r w:rsidRPr="00F534CF">
              <w:rPr>
                <w:rFonts w:ascii="宋体" w:hAnsi="宋体" w:cs="宋体"/>
                <w:color w:val="3E3E3E"/>
                <w:kern w:val="0"/>
                <w:sz w:val="18"/>
                <w:szCs w:val="18"/>
              </w:rPr>
              <w:t xml:space="preserve"> </w:t>
            </w:r>
            <w:r>
              <w:rPr>
                <w:rFonts w:ascii="宋体" w:hAnsi="宋体" w:cs="宋体"/>
                <w:color w:val="3E3E3E"/>
                <w:kern w:val="0"/>
                <w:sz w:val="18"/>
                <w:szCs w:val="18"/>
              </w:rPr>
              <w:t xml:space="preserve">                           </w:t>
            </w:r>
            <w:r w:rsidRPr="00F534CF">
              <w:rPr>
                <w:rFonts w:ascii="仿宋_GB2312" w:eastAsia="仿宋_GB2312" w:hAnsi="宋体" w:cs="宋体"/>
                <w:color w:val="3E3E3E"/>
                <w:kern w:val="0"/>
                <w:sz w:val="23"/>
                <w:szCs w:val="23"/>
              </w:rPr>
              <w:t> </w:t>
            </w:r>
            <w:r w:rsidRPr="00F534CF">
              <w:rPr>
                <w:rFonts w:ascii="黑体" w:eastAsia="黑体" w:hAnsi="黑体" w:cs="宋体" w:hint="eastAsia"/>
                <w:color w:val="3E3E3E"/>
                <w:kern w:val="0"/>
                <w:sz w:val="30"/>
                <w:szCs w:val="30"/>
              </w:rPr>
              <w:t>福建省防空地下室易地建设费收费标准</w:t>
            </w:r>
            <w:r w:rsidRPr="00F534CF">
              <w:rPr>
                <w:rFonts w:ascii="仿宋_GB2312" w:eastAsia="仿宋_GB2312" w:hAnsi="宋体" w:cs="宋体"/>
                <w:color w:val="3E3E3E"/>
                <w:kern w:val="0"/>
                <w:sz w:val="23"/>
                <w:szCs w:val="23"/>
              </w:rPr>
              <w:t> </w:t>
            </w:r>
            <w:r w:rsidRPr="00F534CF">
              <w:rPr>
                <w:rFonts w:ascii="宋体" w:hAnsi="宋体" w:cs="宋体"/>
                <w:color w:val="3E3E3E"/>
                <w:kern w:val="0"/>
                <w:sz w:val="18"/>
                <w:szCs w:val="18"/>
              </w:rPr>
              <w:t xml:space="preserve"> </w:t>
            </w:r>
          </w:p>
          <w:p w:rsidR="000E269D" w:rsidRPr="00F534CF" w:rsidRDefault="000E269D" w:rsidP="00F534CF">
            <w:pPr>
              <w:widowControl/>
              <w:jc w:val="left"/>
              <w:rPr>
                <w:rFonts w:ascii="宋体" w:cs="宋体"/>
                <w:color w:val="3E3E3E"/>
                <w:kern w:val="0"/>
                <w:sz w:val="18"/>
                <w:szCs w:val="18"/>
              </w:rPr>
            </w:pPr>
            <w:r w:rsidRPr="00F534CF">
              <w:rPr>
                <w:rFonts w:ascii="仿宋_GB2312" w:eastAsia="仿宋_GB2312" w:hAnsi="宋体" w:cs="宋体"/>
                <w:color w:val="3E3E3E"/>
                <w:kern w:val="0"/>
                <w:sz w:val="23"/>
                <w:szCs w:val="23"/>
              </w:rPr>
              <w:t>  </w:t>
            </w:r>
          </w:p>
          <w:tbl>
            <w:tblPr>
              <w:tblW w:w="13261" w:type="dxa"/>
              <w:tblCellMar>
                <w:left w:w="0" w:type="dxa"/>
                <w:right w:w="0" w:type="dxa"/>
              </w:tblCellMar>
              <w:tblLook w:val="00A0"/>
            </w:tblPr>
            <w:tblGrid>
              <w:gridCol w:w="829"/>
              <w:gridCol w:w="5628"/>
              <w:gridCol w:w="3402"/>
              <w:gridCol w:w="3402"/>
            </w:tblGrid>
            <w:tr w:rsidR="000E269D" w:rsidRPr="00747FD7" w:rsidTr="00F534CF">
              <w:tc>
                <w:tcPr>
                  <w:tcW w:w="829"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新宋体" w:eastAsia="新宋体" w:hAnsi="新宋体" w:cs="宋体" w:hint="eastAsia"/>
                      <w:b/>
                      <w:bCs/>
                      <w:color w:val="3E3E3E"/>
                      <w:kern w:val="0"/>
                      <w:sz w:val="23"/>
                    </w:rPr>
                    <w:t>序号</w:t>
                  </w:r>
                  <w:r w:rsidRPr="00F534CF">
                    <w:rPr>
                      <w:rFonts w:ascii="宋体" w:hAnsi="宋体" w:cs="宋体"/>
                      <w:color w:val="3E3E3E"/>
                      <w:kern w:val="0"/>
                      <w:sz w:val="15"/>
                      <w:szCs w:val="15"/>
                    </w:rPr>
                    <w:t xml:space="preserve"> </w:t>
                  </w:r>
                </w:p>
              </w:tc>
              <w:tc>
                <w:tcPr>
                  <w:tcW w:w="5628"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新宋体" w:eastAsia="新宋体" w:hAnsi="新宋体" w:cs="宋体"/>
                      <w:b/>
                      <w:bCs/>
                      <w:color w:val="3E3E3E"/>
                      <w:kern w:val="0"/>
                      <w:sz w:val="23"/>
                    </w:rPr>
                    <w:t>      </w:t>
                  </w:r>
                  <w:r w:rsidRPr="00F534CF">
                    <w:rPr>
                      <w:rFonts w:ascii="新宋体" w:eastAsia="新宋体" w:hAnsi="新宋体" w:cs="宋体" w:hint="eastAsia"/>
                      <w:b/>
                      <w:bCs/>
                      <w:color w:val="3E3E3E"/>
                      <w:kern w:val="0"/>
                      <w:sz w:val="23"/>
                    </w:rPr>
                    <w:t>地</w:t>
                  </w:r>
                  <w:r w:rsidRPr="00F534CF">
                    <w:rPr>
                      <w:rFonts w:ascii="新宋体" w:eastAsia="新宋体" w:hAnsi="新宋体" w:cs="宋体"/>
                      <w:b/>
                      <w:bCs/>
                      <w:color w:val="3E3E3E"/>
                      <w:kern w:val="0"/>
                      <w:sz w:val="23"/>
                    </w:rPr>
                    <w:t xml:space="preserve">     </w:t>
                  </w:r>
                  <w:r w:rsidRPr="00F534CF">
                    <w:rPr>
                      <w:rFonts w:ascii="新宋体" w:eastAsia="新宋体" w:hAnsi="新宋体" w:cs="宋体" w:hint="eastAsia"/>
                      <w:b/>
                      <w:bCs/>
                      <w:color w:val="3E3E3E"/>
                      <w:kern w:val="0"/>
                      <w:sz w:val="23"/>
                    </w:rPr>
                    <w:t>区</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新宋体" w:eastAsia="新宋体" w:hAnsi="新宋体" w:cs="宋体" w:hint="eastAsia"/>
                      <w:b/>
                      <w:bCs/>
                      <w:color w:val="3E3E3E"/>
                      <w:kern w:val="0"/>
                      <w:sz w:val="23"/>
                    </w:rPr>
                    <w:t>非工业项目的民用建筑易地建设费收费标准（元／平方米）</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新宋体" w:eastAsia="新宋体" w:hAnsi="新宋体" w:cs="宋体" w:hint="eastAsia"/>
                      <w:b/>
                      <w:bCs/>
                      <w:color w:val="3E3E3E"/>
                      <w:kern w:val="0"/>
                      <w:sz w:val="23"/>
                    </w:rPr>
                    <w:t>工业项目中民用建筑易地建设费收费标准（元／平方米）</w:t>
                  </w:r>
                  <w:r w:rsidRPr="00F534CF">
                    <w:rPr>
                      <w:rFonts w:ascii="宋体" w:hAnsi="宋体" w:cs="宋体"/>
                      <w:color w:val="3E3E3E"/>
                      <w:kern w:val="0"/>
                      <w:sz w:val="15"/>
                      <w:szCs w:val="15"/>
                    </w:rPr>
                    <w:t xml:space="preserve"> </w:t>
                  </w:r>
                </w:p>
              </w:tc>
            </w:tr>
            <w:tr w:rsidR="000E269D" w:rsidRPr="00747FD7" w:rsidTr="00F534CF">
              <w:tc>
                <w:tcPr>
                  <w:tcW w:w="829"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w:t>
                  </w:r>
                  <w:r w:rsidRPr="00F534CF">
                    <w:rPr>
                      <w:rFonts w:ascii="宋体" w:hAnsi="宋体" w:cs="宋体"/>
                      <w:color w:val="3E3E3E"/>
                      <w:kern w:val="0"/>
                      <w:sz w:val="15"/>
                      <w:szCs w:val="15"/>
                    </w:rPr>
                    <w:t xml:space="preserve"> </w:t>
                  </w:r>
                </w:p>
              </w:tc>
              <w:tc>
                <w:tcPr>
                  <w:tcW w:w="5628"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hint="eastAsia"/>
                      <w:b/>
                      <w:bCs/>
                      <w:color w:val="3E3E3E"/>
                      <w:kern w:val="0"/>
                      <w:sz w:val="23"/>
                    </w:rPr>
                    <w:t>福州市、厦门市</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1800</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900</w:t>
                  </w:r>
                  <w:r w:rsidRPr="00F534CF">
                    <w:rPr>
                      <w:rFonts w:ascii="宋体" w:hAnsi="宋体" w:cs="宋体"/>
                      <w:color w:val="3E3E3E"/>
                      <w:kern w:val="0"/>
                      <w:sz w:val="15"/>
                      <w:szCs w:val="15"/>
                    </w:rPr>
                    <w:t xml:space="preserve"> </w:t>
                  </w:r>
                </w:p>
              </w:tc>
            </w:tr>
            <w:tr w:rsidR="000E269D" w:rsidRPr="00747FD7" w:rsidTr="00F534CF">
              <w:tc>
                <w:tcPr>
                  <w:tcW w:w="829"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2</w:t>
                  </w:r>
                  <w:r w:rsidRPr="00F534CF">
                    <w:rPr>
                      <w:rFonts w:ascii="宋体" w:hAnsi="宋体" w:cs="宋体"/>
                      <w:color w:val="3E3E3E"/>
                      <w:kern w:val="0"/>
                      <w:sz w:val="15"/>
                      <w:szCs w:val="15"/>
                    </w:rPr>
                    <w:t xml:space="preserve"> </w:t>
                  </w:r>
                </w:p>
              </w:tc>
              <w:tc>
                <w:tcPr>
                  <w:tcW w:w="5628"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hint="eastAsia"/>
                      <w:b/>
                      <w:bCs/>
                      <w:color w:val="3E3E3E"/>
                      <w:kern w:val="0"/>
                      <w:sz w:val="23"/>
                    </w:rPr>
                    <w:t>漳州市、泉州市、莆田市</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1600</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800</w:t>
                  </w:r>
                  <w:r w:rsidRPr="00F534CF">
                    <w:rPr>
                      <w:rFonts w:ascii="宋体" w:hAnsi="宋体" w:cs="宋体"/>
                      <w:color w:val="3E3E3E"/>
                      <w:kern w:val="0"/>
                      <w:sz w:val="15"/>
                      <w:szCs w:val="15"/>
                    </w:rPr>
                    <w:t xml:space="preserve"> </w:t>
                  </w:r>
                </w:p>
              </w:tc>
            </w:tr>
            <w:tr w:rsidR="000E269D" w:rsidRPr="00747FD7" w:rsidTr="00F534CF">
              <w:tc>
                <w:tcPr>
                  <w:tcW w:w="829"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3</w:t>
                  </w:r>
                  <w:r w:rsidRPr="00F534CF">
                    <w:rPr>
                      <w:rFonts w:ascii="宋体" w:hAnsi="宋体" w:cs="宋体"/>
                      <w:color w:val="3E3E3E"/>
                      <w:kern w:val="0"/>
                      <w:sz w:val="15"/>
                      <w:szCs w:val="15"/>
                    </w:rPr>
                    <w:t xml:space="preserve"> </w:t>
                  </w:r>
                </w:p>
              </w:tc>
              <w:tc>
                <w:tcPr>
                  <w:tcW w:w="5628"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hint="eastAsia"/>
                      <w:b/>
                      <w:bCs/>
                      <w:color w:val="3E3E3E"/>
                      <w:kern w:val="0"/>
                      <w:sz w:val="23"/>
                    </w:rPr>
                    <w:t>三明市、南平市、龙岩市、宁德市、晋江市、石狮市、福清市、长乐市</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1400</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700</w:t>
                  </w:r>
                  <w:r w:rsidRPr="00F534CF">
                    <w:rPr>
                      <w:rFonts w:ascii="宋体" w:hAnsi="宋体" w:cs="宋体"/>
                      <w:color w:val="3E3E3E"/>
                      <w:kern w:val="0"/>
                      <w:sz w:val="15"/>
                      <w:szCs w:val="15"/>
                    </w:rPr>
                    <w:t xml:space="preserve"> </w:t>
                  </w:r>
                </w:p>
              </w:tc>
            </w:tr>
            <w:tr w:rsidR="000E269D" w:rsidRPr="00747FD7" w:rsidTr="00F534CF">
              <w:trPr>
                <w:trHeight w:val="1585"/>
              </w:trPr>
              <w:tc>
                <w:tcPr>
                  <w:tcW w:w="829"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4</w:t>
                  </w:r>
                  <w:r w:rsidRPr="00F534CF">
                    <w:rPr>
                      <w:rFonts w:ascii="宋体" w:hAnsi="宋体" w:cs="宋体"/>
                      <w:color w:val="3E3E3E"/>
                      <w:kern w:val="0"/>
                      <w:sz w:val="15"/>
                      <w:szCs w:val="15"/>
                    </w:rPr>
                    <w:t xml:space="preserve"> </w:t>
                  </w:r>
                </w:p>
              </w:tc>
              <w:tc>
                <w:tcPr>
                  <w:tcW w:w="5628"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hint="eastAsia"/>
                      <w:b/>
                      <w:bCs/>
                      <w:color w:val="3E3E3E"/>
                      <w:kern w:val="0"/>
                      <w:sz w:val="23"/>
                    </w:rPr>
                    <w:t>福州琅岐开发区、闽侯县、连江县、罗源县、泉州泉港区、惠安县、南安市、厦门同安区、龙海市、云霄县、东山县、漳浦县、诏安县、漳平市、永安市、沙县、邵武市、建阳市、建瓯市、武夷山市、福安市、福鼎市、莆田湄洲湾北岸、秀屿区</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1200</w:t>
                  </w:r>
                  <w:r w:rsidRPr="00F534CF">
                    <w:rPr>
                      <w:rFonts w:ascii="宋体" w:hAnsi="宋体" w:cs="宋体"/>
                      <w:color w:val="3E3E3E"/>
                      <w:kern w:val="0"/>
                      <w:sz w:val="15"/>
                      <w:szCs w:val="15"/>
                    </w:rPr>
                    <w:t xml:space="preserve"> </w:t>
                  </w:r>
                </w:p>
              </w:tc>
              <w:tc>
                <w:tcPr>
                  <w:tcW w:w="3402" w:type="dxa"/>
                  <w:tcBorders>
                    <w:top w:val="single" w:sz="8" w:space="0" w:color="auto"/>
                    <w:left w:val="single" w:sz="8" w:space="0" w:color="auto"/>
                    <w:bottom w:val="single" w:sz="8" w:space="0" w:color="auto"/>
                    <w:right w:val="single" w:sz="8"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600</w:t>
                  </w:r>
                  <w:r w:rsidRPr="00F534CF">
                    <w:rPr>
                      <w:rFonts w:ascii="宋体" w:hAnsi="宋体" w:cs="宋体"/>
                      <w:color w:val="3E3E3E"/>
                      <w:kern w:val="0"/>
                      <w:sz w:val="15"/>
                      <w:szCs w:val="15"/>
                    </w:rPr>
                    <w:t xml:space="preserve"> </w:t>
                  </w:r>
                </w:p>
              </w:tc>
            </w:tr>
            <w:tr w:rsidR="000E269D" w:rsidRPr="00747FD7" w:rsidTr="00F534CF">
              <w:tc>
                <w:tcPr>
                  <w:tcW w:w="829" w:type="dxa"/>
                  <w:tcBorders>
                    <w:top w:val="single" w:sz="12" w:space="0" w:color="auto"/>
                    <w:left w:val="single" w:sz="12" w:space="0" w:color="auto"/>
                    <w:bottom w:val="single" w:sz="12" w:space="0" w:color="auto"/>
                    <w:right w:val="single" w:sz="12"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5</w:t>
                  </w:r>
                  <w:r w:rsidRPr="00F534CF">
                    <w:rPr>
                      <w:rFonts w:ascii="宋体" w:hAnsi="宋体" w:cs="宋体"/>
                      <w:color w:val="3E3E3E"/>
                      <w:kern w:val="0"/>
                      <w:sz w:val="15"/>
                      <w:szCs w:val="15"/>
                    </w:rPr>
                    <w:t xml:space="preserve"> </w:t>
                  </w:r>
                </w:p>
              </w:tc>
              <w:tc>
                <w:tcPr>
                  <w:tcW w:w="5628" w:type="dxa"/>
                  <w:tcBorders>
                    <w:top w:val="single" w:sz="12" w:space="0" w:color="auto"/>
                    <w:left w:val="single" w:sz="12" w:space="0" w:color="auto"/>
                    <w:bottom w:val="single" w:sz="12" w:space="0" w:color="auto"/>
                    <w:right w:val="single" w:sz="12"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hint="eastAsia"/>
                      <w:b/>
                      <w:bCs/>
                      <w:color w:val="3E3E3E"/>
                      <w:kern w:val="0"/>
                      <w:sz w:val="23"/>
                    </w:rPr>
                    <w:t>闽清县、永泰县、平潭综合实验区、仙游县、安溪县、永春县、德化县、长泰县、华安县、南靖县、平和县、永定县、上杭县、连城县、武平县、长汀县、尤溪县、大田县、清流县、明溪县、将乐县、建宁县、泰宁县、宁化县、顺昌县、浦城县、光泽县、松溪县、政和县、古田县、霞浦县、屏南县、周宁县、寿宁县、柘荣县</w:t>
                  </w:r>
                  <w:r w:rsidRPr="00F534CF">
                    <w:rPr>
                      <w:rFonts w:ascii="宋体" w:hAnsi="宋体" w:cs="宋体"/>
                      <w:color w:val="3E3E3E"/>
                      <w:kern w:val="0"/>
                      <w:sz w:val="15"/>
                      <w:szCs w:val="15"/>
                    </w:rPr>
                    <w:t xml:space="preserve"> </w:t>
                  </w:r>
                </w:p>
              </w:tc>
              <w:tc>
                <w:tcPr>
                  <w:tcW w:w="3402" w:type="dxa"/>
                  <w:tcBorders>
                    <w:top w:val="single" w:sz="12" w:space="0" w:color="auto"/>
                    <w:left w:val="single" w:sz="12" w:space="0" w:color="auto"/>
                    <w:bottom w:val="single" w:sz="12" w:space="0" w:color="auto"/>
                    <w:right w:val="single" w:sz="12"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1000</w:t>
                  </w:r>
                  <w:r w:rsidRPr="00F534CF">
                    <w:rPr>
                      <w:rFonts w:ascii="宋体" w:hAnsi="宋体" w:cs="宋体"/>
                      <w:color w:val="3E3E3E"/>
                      <w:kern w:val="0"/>
                      <w:sz w:val="15"/>
                      <w:szCs w:val="15"/>
                    </w:rPr>
                    <w:t xml:space="preserve"> </w:t>
                  </w:r>
                </w:p>
              </w:tc>
              <w:tc>
                <w:tcPr>
                  <w:tcW w:w="3402" w:type="dxa"/>
                  <w:tcBorders>
                    <w:top w:val="single" w:sz="12" w:space="0" w:color="auto"/>
                    <w:left w:val="single" w:sz="12" w:space="0" w:color="auto"/>
                    <w:bottom w:val="single" w:sz="12" w:space="0" w:color="auto"/>
                    <w:right w:val="single" w:sz="12" w:space="0" w:color="auto"/>
                  </w:tcBorders>
                  <w:vAlign w:val="center"/>
                </w:tcPr>
                <w:p w:rsidR="000E269D" w:rsidRPr="00F534CF" w:rsidRDefault="000E269D" w:rsidP="00F534CF">
                  <w:pPr>
                    <w:widowControl/>
                    <w:spacing w:before="100" w:beforeAutospacing="1" w:after="125" w:line="301" w:lineRule="atLeast"/>
                    <w:jc w:val="left"/>
                    <w:rPr>
                      <w:rFonts w:ascii="宋体" w:cs="宋体"/>
                      <w:color w:val="3E3E3E"/>
                      <w:kern w:val="0"/>
                      <w:sz w:val="15"/>
                      <w:szCs w:val="15"/>
                    </w:rPr>
                  </w:pPr>
                  <w:r w:rsidRPr="00F534CF">
                    <w:rPr>
                      <w:rFonts w:ascii="仿宋_GB2312" w:eastAsia="仿宋_GB2312" w:hAnsi="宋体" w:cs="宋体"/>
                      <w:b/>
                      <w:bCs/>
                      <w:color w:val="3E3E3E"/>
                      <w:kern w:val="0"/>
                      <w:sz w:val="23"/>
                    </w:rPr>
                    <w:t>500</w:t>
                  </w:r>
                  <w:r w:rsidRPr="00F534CF">
                    <w:rPr>
                      <w:rFonts w:ascii="宋体" w:hAnsi="宋体" w:cs="宋体"/>
                      <w:color w:val="3E3E3E"/>
                      <w:kern w:val="0"/>
                      <w:sz w:val="15"/>
                      <w:szCs w:val="15"/>
                    </w:rPr>
                    <w:t xml:space="preserve"> </w:t>
                  </w:r>
                </w:p>
              </w:tc>
            </w:tr>
          </w:tbl>
          <w:p w:rsidR="000E269D" w:rsidRPr="00F534CF" w:rsidRDefault="000E269D" w:rsidP="00F534CF">
            <w:pPr>
              <w:widowControl/>
              <w:spacing w:before="100" w:beforeAutospacing="1" w:after="125" w:line="301" w:lineRule="atLeast"/>
              <w:jc w:val="left"/>
              <w:rPr>
                <w:rFonts w:ascii="宋体" w:cs="宋体"/>
                <w:color w:val="3E3E3E"/>
                <w:kern w:val="0"/>
                <w:sz w:val="18"/>
                <w:szCs w:val="18"/>
              </w:rPr>
            </w:pPr>
            <w:r w:rsidRPr="00F534CF">
              <w:rPr>
                <w:rFonts w:ascii="仿宋_GB2312" w:eastAsia="仿宋_GB2312" w:hAnsi="宋体" w:cs="宋体" w:hint="eastAsia"/>
                <w:b/>
                <w:bCs/>
                <w:color w:val="3E3E3E"/>
                <w:kern w:val="0"/>
                <w:sz w:val="23"/>
              </w:rPr>
              <w:t>备注</w:t>
            </w:r>
            <w:r w:rsidRPr="00F534CF">
              <w:rPr>
                <w:rFonts w:ascii="仿宋_GB2312" w:eastAsia="仿宋_GB2312" w:hAnsi="宋体" w:cs="宋体"/>
                <w:b/>
                <w:bCs/>
                <w:color w:val="3E3E3E"/>
                <w:kern w:val="0"/>
                <w:sz w:val="23"/>
              </w:rPr>
              <w:t>1</w:t>
            </w:r>
            <w:r w:rsidRPr="00F534CF">
              <w:rPr>
                <w:rFonts w:ascii="仿宋_GB2312" w:eastAsia="仿宋_GB2312" w:hAnsi="宋体" w:cs="宋体" w:hint="eastAsia"/>
                <w:b/>
                <w:bCs/>
                <w:color w:val="3E3E3E"/>
                <w:kern w:val="0"/>
                <w:sz w:val="23"/>
              </w:rPr>
              <w:t>：设区的市包括各区和经济开发区，其他县（市）是指市、县所在的镇和经济开发区，还包括按规定程序确认的人防重点设防镇。</w:t>
            </w:r>
            <w:r w:rsidRPr="00F534CF">
              <w:rPr>
                <w:rFonts w:ascii="宋体" w:hAnsi="宋体" w:cs="宋体"/>
                <w:color w:val="3E3E3E"/>
                <w:kern w:val="0"/>
                <w:sz w:val="18"/>
                <w:szCs w:val="18"/>
              </w:rPr>
              <w:t xml:space="preserve"> </w:t>
            </w:r>
          </w:p>
          <w:p w:rsidR="000E269D" w:rsidRPr="00F534CF" w:rsidRDefault="000E269D" w:rsidP="00F534CF">
            <w:pPr>
              <w:widowControl/>
              <w:spacing w:before="100" w:beforeAutospacing="1" w:after="125" w:line="301" w:lineRule="atLeast"/>
              <w:ind w:firstLine="480"/>
              <w:jc w:val="left"/>
              <w:textAlignment w:val="top"/>
              <w:rPr>
                <w:rFonts w:ascii="宋体" w:cs="宋体"/>
                <w:color w:val="3E3E3E"/>
                <w:kern w:val="0"/>
                <w:sz w:val="18"/>
                <w:szCs w:val="18"/>
              </w:rPr>
            </w:pPr>
            <w:r w:rsidRPr="00F534CF">
              <w:rPr>
                <w:rFonts w:ascii="仿宋_GB2312" w:eastAsia="仿宋_GB2312" w:hAnsi="宋体" w:cs="宋体"/>
                <w:b/>
                <w:bCs/>
                <w:color w:val="3E3E3E"/>
                <w:kern w:val="0"/>
                <w:sz w:val="23"/>
              </w:rPr>
              <w:t>2</w:t>
            </w:r>
            <w:r w:rsidRPr="00F534CF">
              <w:rPr>
                <w:rFonts w:ascii="仿宋_GB2312" w:eastAsia="仿宋_GB2312" w:hAnsi="宋体" w:cs="宋体" w:hint="eastAsia"/>
                <w:b/>
                <w:bCs/>
                <w:color w:val="3E3E3E"/>
                <w:kern w:val="0"/>
                <w:sz w:val="23"/>
              </w:rPr>
              <w:t>：“</w:t>
            </w:r>
            <w:r w:rsidRPr="00F534CF">
              <w:rPr>
                <w:rFonts w:ascii="仿宋_GB2312" w:eastAsia="仿宋_GB2312" w:hAnsi="宋体" w:cs="宋体"/>
                <w:b/>
                <w:bCs/>
                <w:color w:val="3E3E3E"/>
                <w:kern w:val="0"/>
                <w:sz w:val="23"/>
              </w:rPr>
              <w:t xml:space="preserve"> </w:t>
            </w:r>
            <w:r w:rsidRPr="00F534CF">
              <w:rPr>
                <w:rFonts w:ascii="仿宋_GB2312" w:eastAsia="仿宋_GB2312" w:hAnsi="宋体" w:cs="宋体" w:hint="eastAsia"/>
                <w:b/>
                <w:bCs/>
                <w:color w:val="3E3E3E"/>
                <w:kern w:val="0"/>
                <w:sz w:val="23"/>
              </w:rPr>
              <w:t>工业项目中民用建筑”是指工业用地的建设项目中，除生产性建筑外（工业厂房和生产性配套设施）的所有非生产性建筑。</w:t>
            </w:r>
            <w:r w:rsidRPr="00F534CF">
              <w:rPr>
                <w:rFonts w:ascii="宋体" w:hAnsi="宋体" w:cs="宋体"/>
                <w:color w:val="3E3E3E"/>
                <w:kern w:val="0"/>
                <w:sz w:val="18"/>
                <w:szCs w:val="18"/>
              </w:rPr>
              <w:t xml:space="preserve"> </w:t>
            </w:r>
          </w:p>
        </w:tc>
      </w:tr>
    </w:tbl>
    <w:p w:rsidR="000E269D" w:rsidRPr="00F534CF" w:rsidRDefault="000E269D"/>
    <w:sectPr w:rsidR="000E269D" w:rsidRPr="00F534CF" w:rsidSect="00F534CF">
      <w:headerReference w:type="default" r:id="rId6"/>
      <w:pgSz w:w="16838" w:h="11906" w:orient="landscape"/>
      <w:pgMar w:top="851" w:right="1440" w:bottom="102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69D" w:rsidRDefault="000E269D">
      <w:r>
        <w:separator/>
      </w:r>
    </w:p>
  </w:endnote>
  <w:endnote w:type="continuationSeparator" w:id="0">
    <w:p w:rsidR="000E269D" w:rsidRDefault="000E26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69D" w:rsidRDefault="000E269D">
      <w:r>
        <w:separator/>
      </w:r>
    </w:p>
  </w:footnote>
  <w:footnote w:type="continuationSeparator" w:id="0">
    <w:p w:rsidR="000E269D" w:rsidRDefault="000E2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69D" w:rsidRDefault="000E269D" w:rsidP="00803FA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34CF"/>
    <w:rsid w:val="000E269D"/>
    <w:rsid w:val="003163D8"/>
    <w:rsid w:val="00384B57"/>
    <w:rsid w:val="00485F16"/>
    <w:rsid w:val="00747FD7"/>
    <w:rsid w:val="00803FAF"/>
    <w:rsid w:val="00F534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F1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534CF"/>
    <w:rPr>
      <w:rFonts w:cs="Times New Roman"/>
      <w:color w:val="3E3E3E"/>
      <w:u w:val="none"/>
      <w:effect w:val="none"/>
    </w:rPr>
  </w:style>
  <w:style w:type="character" w:styleId="Strong">
    <w:name w:val="Strong"/>
    <w:basedOn w:val="DefaultParagraphFont"/>
    <w:uiPriority w:val="99"/>
    <w:qFormat/>
    <w:rsid w:val="00F534CF"/>
    <w:rPr>
      <w:rFonts w:cs="Times New Roman"/>
      <w:b/>
      <w:bCs/>
    </w:rPr>
  </w:style>
  <w:style w:type="paragraph" w:styleId="BalloonText">
    <w:name w:val="Balloon Text"/>
    <w:basedOn w:val="Normal"/>
    <w:link w:val="BalloonTextChar"/>
    <w:uiPriority w:val="99"/>
    <w:semiHidden/>
    <w:rsid w:val="00F534CF"/>
    <w:rPr>
      <w:sz w:val="18"/>
      <w:szCs w:val="18"/>
    </w:rPr>
  </w:style>
  <w:style w:type="character" w:customStyle="1" w:styleId="BalloonTextChar">
    <w:name w:val="Balloon Text Char"/>
    <w:basedOn w:val="DefaultParagraphFont"/>
    <w:link w:val="BalloonText"/>
    <w:uiPriority w:val="99"/>
    <w:semiHidden/>
    <w:locked/>
    <w:rsid w:val="00F534CF"/>
    <w:rPr>
      <w:rFonts w:cs="Times New Roman"/>
      <w:sz w:val="18"/>
      <w:szCs w:val="18"/>
    </w:rPr>
  </w:style>
  <w:style w:type="paragraph" w:styleId="Header">
    <w:name w:val="header"/>
    <w:basedOn w:val="Normal"/>
    <w:link w:val="HeaderChar"/>
    <w:uiPriority w:val="99"/>
    <w:rsid w:val="00803FA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230EB5"/>
    <w:rPr>
      <w:sz w:val="18"/>
      <w:szCs w:val="18"/>
    </w:rPr>
  </w:style>
  <w:style w:type="paragraph" w:styleId="Footer">
    <w:name w:val="footer"/>
    <w:basedOn w:val="Normal"/>
    <w:link w:val="FooterChar"/>
    <w:uiPriority w:val="99"/>
    <w:rsid w:val="00803FA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230EB5"/>
    <w:rPr>
      <w:sz w:val="18"/>
      <w:szCs w:val="18"/>
    </w:rPr>
  </w:style>
</w:styles>
</file>

<file path=word/webSettings.xml><?xml version="1.0" encoding="utf-8"?>
<w:webSettings xmlns:r="http://schemas.openxmlformats.org/officeDocument/2006/relationships" xmlns:w="http://schemas.openxmlformats.org/wordprocessingml/2006/main">
  <w:divs>
    <w:div w:id="1644192472">
      <w:marLeft w:val="0"/>
      <w:marRight w:val="0"/>
      <w:marTop w:val="0"/>
      <w:marBottom w:val="0"/>
      <w:divBdr>
        <w:top w:val="none" w:sz="0" w:space="0" w:color="auto"/>
        <w:left w:val="none" w:sz="0" w:space="0" w:color="auto"/>
        <w:bottom w:val="none" w:sz="0" w:space="0" w:color="auto"/>
        <w:right w:val="none" w:sz="0" w:space="0" w:color="auto"/>
      </w:divBdr>
      <w:divsChild>
        <w:div w:id="1644192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261</Words>
  <Characters>1493</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2</cp:revision>
  <dcterms:created xsi:type="dcterms:W3CDTF">2015-06-04T00:41:00Z</dcterms:created>
  <dcterms:modified xsi:type="dcterms:W3CDTF">2025-04-08T02:25:00Z</dcterms:modified>
</cp:coreProperties>
</file>